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D5" w:rsidRPr="00F705D5" w:rsidRDefault="00F705D5" w:rsidP="00F7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ГОСУДАРСТВЕННАЯ ПРОГРАММА</w:t>
      </w:r>
    </w:p>
    <w:p w:rsidR="00F705D5" w:rsidRPr="00F705D5" w:rsidRDefault="00F705D5" w:rsidP="00F7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развития образования и науки Республики Казахстан на 2020 - 2025 годы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F705D5" w:rsidRPr="00F705D5" w:rsidRDefault="00F705D5" w:rsidP="00F705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Цели</w:t>
      </w:r>
      <w:bookmarkStart w:id="0" w:name="_GoBack"/>
      <w:bookmarkEnd w:id="0"/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1. Повышение глобальной конкурентоспособности казахстанского образования и науки, воспитание и обучение личности на основе общечеловеческих ценностей.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2. Увеличение вклада науки в социально-экономическое развитие страны.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pict>
          <v:rect id="_x0000_i1026" style="width:0;height:1.5pt" o:hralign="center" o:hrstd="t" o:hr="t" fillcolor="#a0a0a0" stroked="f"/>
        </w:pict>
      </w:r>
    </w:p>
    <w:p w:rsidR="00F705D5" w:rsidRPr="00F705D5" w:rsidRDefault="00F705D5" w:rsidP="00F705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Задачи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1. Обеспечить высокий статус профессии педагога, модернизировать педагогическое образование.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2. Сократить разрыв в качестве образования между городскими и сельскими школами, регионами, учебными заведениями, обучающимися.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3. Обеспечить безопасную и комфортную среду обучения.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4. Внедрить обновленную систему оценки качества обучающихся, педагогов и организаций образования на основе лучших практик.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5. Обеспечить преемственность и непрерывность обучения, профессиональной подготовки в соответствии с потребностями экономики и региональными особенностями.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6. Обеспечить интеллектуальное, духовно-нравственное и физическое развитие </w:t>
      </w:r>
      <w:proofErr w:type="gram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обучающихся</w:t>
      </w:r>
      <w:proofErr w:type="gram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7. Оснастить организации образования цифровой инфраструктурой и современной материально-технической базой.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8. Внедрить вертикаль системы управления и финансирования образованием.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9. Укрепить интеллектуальный потенциал науки.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10. Модернизировать и оцифровать научную инфраструктуру.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11. Повысить результативность научных разработок и обеспечить интеграцию в мировое научное пространство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pict>
          <v:rect id="_x0000_i1027" style="width:0;height:1.5pt" o:hralign="center" o:hrstd="t" o:hr="t" fillcolor="#a0a0a0" stroked="f"/>
        </w:pict>
      </w:r>
    </w:p>
    <w:p w:rsidR="00F705D5" w:rsidRPr="00F705D5" w:rsidRDefault="00F705D5" w:rsidP="00F705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Целевые индикаторы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2518"/>
        <w:gridCol w:w="730"/>
        <w:gridCol w:w="721"/>
        <w:gridCol w:w="1682"/>
        <w:gridCol w:w="862"/>
        <w:gridCol w:w="858"/>
        <w:gridCol w:w="1697"/>
      </w:tblGrid>
      <w:tr w:rsidR="00F705D5" w:rsidRPr="00F705D5" w:rsidTr="00F705D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Целевые индикаторы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2025</w:t>
            </w:r>
          </w:p>
        </w:tc>
      </w:tr>
      <w:tr w:rsidR="00F705D5" w:rsidRPr="00F705D5" w:rsidTr="00F705D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Охват дошкольным воспитанием и обучением детей</w:t>
            </w:r>
            <w:proofErr w:type="gramStart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, %:</w:t>
            </w:r>
            <w:proofErr w:type="gramEnd"/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от 1 до 6 лет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от 3 до 6 лет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81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81,7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82,6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83,5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84,6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 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85,3</w:t>
            </w:r>
          </w:p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100</w:t>
            </w:r>
          </w:p>
        </w:tc>
      </w:tr>
      <w:tr w:rsidR="00F705D5" w:rsidRPr="00F705D5" w:rsidTr="00F705D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Результаты 15-летних казахстанских учащихся в международном исследовании PISA (ОЭСР), баллы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PISA-2021: математика - 470, естествознание - 465, чтение - 440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PISA-2024: математика - 480, естествознание - 490, чтение - 450</w:t>
            </w:r>
          </w:p>
        </w:tc>
      </w:tr>
      <w:tr w:rsidR="00F705D5" w:rsidRPr="00F705D5" w:rsidTr="00F705D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Индекс благополучия детей, баллы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0,70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0,73</w:t>
            </w:r>
          </w:p>
        </w:tc>
      </w:tr>
      <w:tr w:rsidR="00F705D5" w:rsidRPr="00F705D5" w:rsidTr="00F705D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 xml:space="preserve">Доля трудоустроенных выпускников в первый год после окончания учебных заведений </w:t>
            </w:r>
            <w:proofErr w:type="spellStart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ТиПО</w:t>
            </w:r>
            <w:proofErr w:type="spellEnd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 xml:space="preserve"> по госзаказу, 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75</w:t>
            </w:r>
          </w:p>
        </w:tc>
      </w:tr>
      <w:tr w:rsidR="00F705D5" w:rsidRPr="00F705D5" w:rsidTr="00F705D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Доля трудоустроенных выпускников в первый год после окончания вуза по госзаказу, 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75</w:t>
            </w:r>
          </w:p>
        </w:tc>
      </w:tr>
      <w:tr w:rsidR="00F705D5" w:rsidRPr="00F705D5" w:rsidTr="00F705D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Доля расходов на науку от ВВП (из всех источников), 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1</w:t>
            </w:r>
          </w:p>
        </w:tc>
      </w:tr>
      <w:tr w:rsidR="00F705D5" w:rsidRPr="00F705D5" w:rsidTr="00F705D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Качество научно-исследовательских организаций, место в ГИК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63</w:t>
            </w:r>
          </w:p>
        </w:tc>
      </w:tr>
      <w:tr w:rsidR="00F705D5" w:rsidRPr="00F705D5" w:rsidTr="00F705D5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 xml:space="preserve">Прирост казахстанских публикаций в рейтинговых изданиях от общего количества публикаций в 2018 году (4873 ед.) по данным информационных ресурсов на платформе </w:t>
            </w:r>
            <w:proofErr w:type="spellStart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Web</w:t>
            </w:r>
            <w:proofErr w:type="spellEnd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of</w:t>
            </w:r>
            <w:proofErr w:type="spellEnd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Science</w:t>
            </w:r>
            <w:proofErr w:type="spellEnd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Clarivate</w:t>
            </w:r>
            <w:proofErr w:type="spellEnd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Analytics</w:t>
            </w:r>
            <w:proofErr w:type="spellEnd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 xml:space="preserve">) и </w:t>
            </w:r>
            <w:proofErr w:type="spellStart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Scopus</w:t>
            </w:r>
            <w:proofErr w:type="spellEnd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Elsevier</w:t>
            </w:r>
            <w:proofErr w:type="spellEnd"/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5D5" w:rsidRPr="00F705D5" w:rsidRDefault="00F705D5" w:rsidP="00F7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</w:pPr>
            <w:r w:rsidRPr="00F705D5">
              <w:rPr>
                <w:rFonts w:ascii="Times New Roman" w:eastAsia="Times New Roman" w:hAnsi="Times New Roman" w:cs="Times New Roman"/>
                <w:color w:val="151515"/>
                <w:sz w:val="21"/>
                <w:szCs w:val="21"/>
                <w:lang w:eastAsia="ru-RU"/>
              </w:rPr>
              <w:t>88</w:t>
            </w:r>
          </w:p>
        </w:tc>
      </w:tr>
    </w:tbl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pict>
          <v:rect id="_x0000_i1028" style="width:0;height:1.5pt" o:hralign="center" o:hrstd="t" o:hr="t" fillcolor="#a0a0a0" stroked="f"/>
        </w:pict>
      </w:r>
    </w:p>
    <w:p w:rsidR="00F705D5" w:rsidRPr="00F705D5" w:rsidRDefault="00F705D5" w:rsidP="00F705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Показатели Результатов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hyperlink r:id="rId5" w:history="1">
        <w:r w:rsidRPr="00F705D5">
          <w:rPr>
            <w:rFonts w:ascii="Times New Roman" w:eastAsia="Times New Roman" w:hAnsi="Times New Roman" w:cs="Times New Roman"/>
            <w:color w:val="1565C0"/>
            <w:sz w:val="21"/>
            <w:szCs w:val="21"/>
            <w:lang w:eastAsia="ru-RU"/>
          </w:rPr>
          <w:t>Показатели Результатов</w:t>
        </w:r>
      </w:hyperlink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pict>
          <v:rect id="_x0000_i1029" style="width:0;height:1.5pt" o:hralign="center" o:hrstd="t" o:hr="t" fillcolor="#a0a0a0" stroked="f"/>
        </w:pict>
      </w:r>
    </w:p>
    <w:p w:rsidR="00F705D5" w:rsidRPr="00F705D5" w:rsidRDefault="00F705D5" w:rsidP="00F705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Объемы финансирования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На реализацию Программы в 2020 - 2025 годах будут направлены средства бюджета в размере 11 578 млрд. тенге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(республиканского бюджета - 9 565 </w:t>
      </w:r>
      <w:proofErr w:type="gram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млрд</w:t>
      </w:r>
      <w:proofErr w:type="gramEnd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 тенге, местного бюджета - 716 млрд тенге, Всемирного банка - 13 млрд </w:t>
      </w:r>
      <w:proofErr w:type="spell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тг</w:t>
      </w:r>
      <w:proofErr w:type="spellEnd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., частных инвестиций - 1 284 млрд тенге)</w:t>
      </w: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, в том числе: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2020 - 1 161 </w:t>
      </w:r>
      <w:proofErr w:type="gram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млрд</w:t>
      </w:r>
      <w:proofErr w:type="gram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тенге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2021 - 1 336 </w:t>
      </w:r>
      <w:proofErr w:type="gram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млрд</w:t>
      </w:r>
      <w:proofErr w:type="gram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тенге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2022 - 1 708 </w:t>
      </w:r>
      <w:proofErr w:type="gram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млрд</w:t>
      </w:r>
      <w:proofErr w:type="gram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тенге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2023 - 2 311 </w:t>
      </w:r>
      <w:proofErr w:type="gram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млрд</w:t>
      </w:r>
      <w:proofErr w:type="gram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тенге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2024 - 2 383 </w:t>
      </w:r>
      <w:proofErr w:type="gram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млрд</w:t>
      </w:r>
      <w:proofErr w:type="gram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тенге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2025 - 2 679 </w:t>
      </w:r>
      <w:proofErr w:type="gram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млрд</w:t>
      </w:r>
      <w:proofErr w:type="gram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тенге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а также другие средства, незапрещенные законодательством Республики Казахстан.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pict>
          <v:rect id="_x0000_i1030" style="width:0;height:1.5pt" o:hralign="center" o:hrstd="t" o:hr="t" fillcolor="#a0a0a0" stroked="f"/>
        </w:pict>
      </w:r>
    </w:p>
    <w:p w:rsidR="00F705D5" w:rsidRPr="00F705D5" w:rsidRDefault="00F705D5" w:rsidP="00F705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План мероприятий</w:t>
      </w:r>
    </w:p>
    <w:p w:rsidR="00F705D5" w:rsidRPr="00F705D5" w:rsidRDefault="00F705D5" w:rsidP="00F7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hyperlink r:id="rId6" w:tgtFrame="_blank" w:history="1">
        <w:r w:rsidRPr="00F705D5">
          <w:rPr>
            <w:rFonts w:ascii="Times New Roman" w:eastAsia="Times New Roman" w:hAnsi="Times New Roman" w:cs="Times New Roman"/>
            <w:color w:val="1565C0"/>
            <w:sz w:val="21"/>
            <w:szCs w:val="21"/>
            <w:lang w:eastAsia="ru-RU"/>
          </w:rPr>
          <w:t>План мероприятий</w:t>
        </w:r>
      </w:hyperlink>
    </w:p>
    <w:p w:rsidR="00F705D5" w:rsidRPr="00F705D5" w:rsidRDefault="00F705D5" w:rsidP="00F7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hyperlink r:id="rId7" w:tgtFrame="_blank" w:history="1">
        <w:r w:rsidRPr="00F705D5">
          <w:rPr>
            <w:rFonts w:ascii="Times New Roman" w:eastAsia="Times New Roman" w:hAnsi="Times New Roman" w:cs="Times New Roman"/>
            <w:color w:val="1565C0"/>
            <w:sz w:val="21"/>
            <w:szCs w:val="21"/>
            <w:lang w:eastAsia="ru-RU"/>
          </w:rPr>
          <w:t>по реализации Государственной программы развития образования и науки</w:t>
        </w:r>
      </w:hyperlink>
    </w:p>
    <w:p w:rsidR="00F705D5" w:rsidRPr="00F705D5" w:rsidRDefault="00F705D5" w:rsidP="00F7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hyperlink r:id="rId8" w:tgtFrame="_blank" w:history="1">
        <w:r w:rsidRPr="00F705D5">
          <w:rPr>
            <w:rFonts w:ascii="Times New Roman" w:eastAsia="Times New Roman" w:hAnsi="Times New Roman" w:cs="Times New Roman"/>
            <w:color w:val="1565C0"/>
            <w:sz w:val="21"/>
            <w:szCs w:val="21"/>
            <w:lang w:eastAsia="ru-RU"/>
          </w:rPr>
          <w:t>Республики Казахстан на 2020 – 2025 годы</w:t>
        </w:r>
      </w:hyperlink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pict>
          <v:rect id="_x0000_i1031" style="width:0;height:1.5pt" o:hralign="center" o:hrstd="t" o:hr="t" fillcolor="#a0a0a0" stroked="f"/>
        </w:pict>
      </w:r>
    </w:p>
    <w:p w:rsidR="00F705D5" w:rsidRPr="00F705D5" w:rsidRDefault="00F705D5" w:rsidP="00F705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 реализации государственной программы</w:t>
      </w:r>
    </w:p>
    <w:p w:rsidR="00F705D5" w:rsidRPr="00F705D5" w:rsidRDefault="00F705D5" w:rsidP="00F7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Справка о реализации</w:t>
      </w:r>
    </w:p>
    <w:p w:rsidR="00F705D5" w:rsidRPr="00F705D5" w:rsidRDefault="00F705D5" w:rsidP="00F7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Государственной программы развития образования и науки РК</w:t>
      </w:r>
    </w:p>
    <w:p w:rsidR="00F705D5" w:rsidRPr="00F705D5" w:rsidRDefault="00F705D5" w:rsidP="00F7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на 2020-2025 годы в первом полугодии 2020 года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Основной целью Госпрограммы является повышение глобальной конкурентоспособности казахстанского образования и науки, воспитание и обучение личности на основе общечеловеческих ценностей, увеличение вклада науки в социально-экономическое развитие страны.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Всего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индикторов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– 8, показателей – 40, мероприятий – 204.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В 2020 году предусмотрено реализация 6 целевых индикаторов, 35 показателей, 190 мероприятий.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lastRenderedPageBreak/>
        <w:t xml:space="preserve">В соответствии с п. 7.3. </w:t>
      </w:r>
      <w:proofErr w:type="gram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Постановления Правительства РК «Об утверждении Системы государственного планирования в Республике Казахстан» от 29 ноября 2017 года №790, мониторинг государственных программ </w:t>
      </w:r>
      <w:proofErr w:type="spell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осуществялется</w:t>
      </w:r>
      <w:proofErr w:type="spellEnd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 один раз в год по итогам года и отчет о реализации государственной программы предоставляется в уполномоченный орган по государственному планированию в срок до 10 марта года, следующего за отчетным годом.  </w:t>
      </w:r>
      <w:proofErr w:type="gramEnd"/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Министерстом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на ежеквартальной основе проводится промежуточный мониторинг ГПРОН.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По предварительным итогам в первом полугодии 2020 года на исполнении находится 6 целевых индикаторов, 35 показателей и 32 мероприятий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(план на 2-полугодие 158 мероприятий).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Данные по индикаторам и показателям будут в конце года по итогам НОБД, официальной статистики КС МНЭ РК, отчетных данных подведомственных организаций, госорганов и др.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По итогам первого полугодия в рамках ГПРОН на 2020-2025 годы проведена работа по повышению статуса педагога, модернизацию педагогического образования, сокращению разрыва в качестве образования между городскими и сельскими школами, обеспечению безопасной и комфортной среды обучения, повышению качества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ТиПО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и высшего образования, повышению результативности научных разработок и др.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С 1 января 2020 года увеличена оплата труда педагогов на 25%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(ППРК от 28.01.2020 года № 11 «О внесении изменений и дополнений в ППРК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предприятий»). 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В рамках Закона РК «О статусе педагога» предусмотрен комплекс мер, в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т.ч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.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двухкратное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повышение зарплаты, введение новых доплат за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педмастерство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, наставничество, степень магистра. Увеличена доплата в 2 раза за классное руководство, проверку тетрадей.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Приняты Правила определения особенностей режима рабочего времени и времени отдыха педагога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(приказ от 21 апреля 2020 года № 153)</w:t>
      </w: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Утвержден Перечень должностей педагогов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(приказ от 15 апреля 2020 года № 145)</w:t>
      </w: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, внесены изменения в Типовые квалификационные характеристики должностей педагогов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(от воспитателей </w:t>
      </w:r>
      <w:proofErr w:type="gram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ДО</w:t>
      </w:r>
      <w:proofErr w:type="gramEnd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 </w:t>
      </w:r>
      <w:proofErr w:type="spellStart"/>
      <w:proofErr w:type="gram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до</w:t>
      </w:r>
      <w:proofErr w:type="spellEnd"/>
      <w:proofErr w:type="gramEnd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 руководителей организаций образования и другим категориям)</w:t>
      </w: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. В инклюзивном образовании с сентября 2020 года внедряется единица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тьютора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Для обеспечения качественной и объективной оценки знаний и компетенций педагога введен электронный формат сдачи Национального квалификационного тестирования, позволяющее педагогам участвовать в любое удобное время.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Для поддержки молодых педагогов введен институт наставничества в организациях среднего образования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(приказ от                       24 апреля 2020 № 160)</w:t>
      </w: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Внедряется новая система переподготовки педагогов, предусмотрен «боковой» вход в профессию педагога.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Все педагогические вузы обновили ОП. 16 педвузов обеспечены лабораториями робототехники в рамках STEM-образования. Разработаны новые Методические рекомендаций по организации и проведению профессиональной практики, которые предусматривают </w:t>
      </w:r>
      <w:proofErr w:type="spell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практикоориентированное</w:t>
      </w:r>
      <w:proofErr w:type="spellEnd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 и непрерывное обучение студентов, методику расчета оплаты методистам и педагогам школ, инновационные подходы преподавания и современные стратегии обучения, предметно-ориентированное языковое обучение (CLIL) и др.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В целях качественного отбора претендентов на педагогические группы образовательных программ с этого года предусматривается увеличение проходного балла по области образования «Педагогические науки» с 60 до 70 баллов.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С целью улучшения качества, равенства и эффективности в малокомплектных школах, сокращение разрыва в качестве образования между городскими и сельскими школами проработан вопрос «шефства» сильных школ над школами с низкой результативностью. Определена стратегия по нескольким направлениям: «Опорная школа — ресурсный центр», «Ведущие школы — магнитные школы», «Успешно развивающаяся школа — функционирующая школа».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proofErr w:type="gram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Работа будет усилена посредством введения стажировок руководителей «слабых» школ в «сильных» школах, шефства городских отделов образования над сельскими, кураторства «сильного» 10 - 11 класса над «слабым» в рамках разных районов/городов (это будет способствовать совместной творческой деятельности, </w:t>
      </w:r>
      <w:proofErr w:type="spell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взаимопосещению</w:t>
      </w:r>
      <w:proofErr w:type="spellEnd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 уроков посредством онлайн, обмену учащимися), руководство сильных педагогов ученическими проектами в «слабых» школах (в пределах области, района/города, допустимо и республики).</w:t>
      </w:r>
      <w:proofErr w:type="gramEnd"/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Реализуется Дорожная карта по выявлению одаренных детей, проживающих в сельской местности, а также из малообеспеченных и многодетных семей. Совместно </w:t>
      </w:r>
      <w:proofErr w:type="gram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с</w:t>
      </w:r>
      <w:proofErr w:type="gram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МИО в 10 </w:t>
      </w:r>
      <w:proofErr w:type="gram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регионах</w:t>
      </w:r>
      <w:proofErr w:type="gram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республики открыты Центры по работе с одаренными детьми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(до конца 2020 года будут открыты еще в 7-ми регионах).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lastRenderedPageBreak/>
        <w:t>Национальным научно-практическим центром коррекционной педагогики МОН РК разработаны рекомендации по мобильной консультативно-методической помощи педагогам, родителям, детям с ООП в сельских школах. Проведены консультации для руководителей кабинетов психолого-педагогической-коррекционной поддержке детей с ООП в условиях села.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РЦ «Дошкольное детство» разработаны Методические рекомендации «Введение института домашних воспитателей (социальных нянь), в том числе в штатных расписаниях дошкольных организаций».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Для обеспечения безопасности детей 2 512 или 89,1% детских садов, 5 811 или 83,3% школ оснащены системами видеонаблюдения, из них в первом квартале 2020 года – 12 ДО и 65 школ.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Совместно с МИО составлен график обеспечения организаций образования системами видеонаблюдения, теплыми туалетами до конца 2020 года.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Решением Республиканского учебно - методического Совета НАО им.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Ы.Алтынсарина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от 26 марта 2020 года создана Республиканская ассоциация педагогов-предметников.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Разработана новая система подготовки, экспертизы апробации, мониторинга,  издания учебников и учебно-методических комплексов по уровням среднего образования.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Проработан вопрос внедрения лицензирования дошкольных организаций.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Министерством разработан проект «О внесении изменении в постановление Правительства Республики Казахстан от 29 декабря                 2009 года № 2225 «Об утверждении перечня бюджетных инвестиционных проектов, не требующих разработки технико-экономического обоснования». Это обусловлено для ускорения процесса строительства общеобразовательных школ с проектной мощностью свыше 1200 мест.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В целях стимулирования предприятий для участия в дуальном обучении в ГОСО предусмотрен расчет объема часов на производственную практику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(приказ от 5 мая 2020 года №182).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Также вносятся изменения </w:t>
      </w:r>
      <w:proofErr w:type="gram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в</w:t>
      </w:r>
      <w:proofErr w:type="gramEnd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 следующие НПА: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- приказ МОН от 27 ноября 2017 года № 597: в Методику </w:t>
      </w:r>
      <w:proofErr w:type="spell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подушевого</w:t>
      </w:r>
      <w:proofErr w:type="spellEnd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 финансирования включен расчет для компенсации учебных и трудовых расходов предприятиям в пределах норматива;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- приказ МОН от 21 января 2016 года № 50: в Правилах организации дуального обучения прописан механизм компенсации учебных и трудовых затрат предприятию, чтобы организации образования могли перечислять финансовые средства за учебные и трудовые расходы предприятиям;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- приказ МОН от 1 августа 2012 года № 350: в Перечень услуг, связанных с государственным образовательным заказом, вносятся изменения по оплате предприятиям из одного источника, чтобы финансовые средства направлялись тем предприятиям, которые участвуют в дуальном обучении.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Распоряжением Премьер-Министра Республики Казахстан № 62-р от 30 апреля 2020 года создан Попечительский совет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WorldSkills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Kazakhstan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Внесены изменения в приказ МОН РК от 2 мая 2017 года № 204 «Об утверждении Правил проведения единого национального тестирования»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(приказ МОН РК от 5 июня 2020 года № 230).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Проведена  работа по совершенствованию НПА, в частности внесены изменения в Правила проведения ЕНТ в части электронного формата, а также тестовых заданий ЕНТ в рамках обновленного содержания.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Принят приказ Министра образования и науки Республики Казахстан от 8 июня 2020 года № 237 «О внесении изменений и дополнений в приказ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образования».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Согласно изменениям предусматривается норма для лиц, имеющих сертификаты международных стандартизированных тестов SAT (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ЭсЭйТи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– САТ), ACT (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ЭйСиТи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), IB (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АйБи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) по участию в конкурсе на присуждение образовательного гранта и (или) зачисление в вузы на платное отделение, в соответствии со шкалой перевода баллов международных стандартизированных сертификатов в баллы ЕНТ.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С 2020 года конкурсы на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грантовое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и программно-целевое финансирование планируется проводить ежегодно. В целях сохранения научных школ, формирования новой генерации ученых с учетом предложений научной общественности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поднаправление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«Научные исследования в области естественных наук» выделены в отдельное приоритетное направление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(ППРК от 12 мая 2020 года № 290)</w:t>
      </w: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С 11 мая по 26 июня 2020 года в электронном виде принимаются заявки для участия в конкурсе на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грантовое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финансирование проектов на 2020-2022 годы.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В целях повышения результативности науки повышены требования к научным руководителям и ожидаемым результатам научных и научно-технических проектов.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proofErr w:type="gram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Для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софинансирования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прикладных научных исследований со стороны заинтересованных бизнес-партнеров внесены изменения в ППРК </w:t>
      </w:r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 xml:space="preserve">«Об утверждении Правил базового, </w:t>
      </w:r>
      <w:proofErr w:type="spellStart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грантового</w:t>
      </w:r>
      <w:proofErr w:type="spellEnd"/>
      <w:r w:rsidRPr="00F705D5">
        <w:rPr>
          <w:rFonts w:ascii="Times New Roman" w:eastAsia="Times New Roman" w:hAnsi="Times New Roman" w:cs="Times New Roman"/>
          <w:i/>
          <w:iCs/>
          <w:color w:val="151515"/>
          <w:sz w:val="21"/>
          <w:szCs w:val="21"/>
          <w:lang w:eastAsia="ru-RU"/>
        </w:rPr>
        <w:t>, программно-целевого финансирования научной и (или) научно-технической деятельности» от 25 мая 2011 года №575</w:t>
      </w: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, согласно которым, участник, претендующий на получение гранта по прикладным </w:t>
      </w: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lastRenderedPageBreak/>
        <w:t>исследованиям, обеспечивает участие частного партнера с частичным обеспечением проекта необходимыми ресурсами, в том числе финансовыми, за исключением проектов прикладных исследований</w:t>
      </w:r>
      <w:proofErr w:type="gram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в области обеспечения национальной безопасности и обороны, использования атомной энергии, общественных, гуманитарных и социальных наук.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В целях реализации поручения Главы государства от 15 июля 2019 года МОН совместно с ГО на 2020-2022 годы разработана Дорожная карта по реализации пункта 3.3.27 «совместно с научным сообществом провести анализ всех барьеров, препятствующих привлечению инвестиций из частного сектора в науку и развитию науки в целом, выработать пути их устранения».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На основании заключенных меморандумов и соглашений казахстанские ученые участвуют в международных коллективах и ведущих работы в крупных зарубежных лабораторных комплексах: ЕНУ им. Л.В. Гумилева - 19,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КазНУ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им. Аль-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Фараби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– 46, Научно-исследовательский институт проблем биологической безопасности – 3,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КарГУ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им. Е.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Букетова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– 40,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ТарГУ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им. Х.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Дулати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– 3, Институт математики и математического моделирования – 3.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Заключены договора на реферативные базы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Web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of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science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(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Clarivate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Analytics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) № 52 от 16 марта 2020 года и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Scopus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(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Elsevier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) № 54 от 18 марта 2020 года, а также на полнотекстовую базу данных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Science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Direct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 (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Elsevier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 xml:space="preserve">) № 53 от 18 марта 2020 года. Доступ к базам данных предоставлен 251 </w:t>
      </w:r>
      <w:proofErr w:type="spellStart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оргазицациям</w:t>
      </w:r>
      <w:proofErr w:type="spellEnd"/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1"/>
          <w:szCs w:val="21"/>
          <w:lang w:eastAsia="ru-RU"/>
        </w:rPr>
        <w:t>Кроме того, на портале www.nauka.kz представлен доступ в реферативном формате к диссертациям, защищенным в Республике Казахстан и отчетам о научно-исследовательских работах.</w:t>
      </w:r>
    </w:p>
    <w:p w:rsidR="00F705D5" w:rsidRPr="00F705D5" w:rsidRDefault="00F705D5" w:rsidP="00F7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F705D5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2517</w:t>
      </w:r>
    </w:p>
    <w:p w:rsidR="007707D8" w:rsidRPr="00F705D5" w:rsidRDefault="007707D8">
      <w:pPr>
        <w:rPr>
          <w:rFonts w:ascii="Times New Roman" w:hAnsi="Times New Roman" w:cs="Times New Roman"/>
        </w:rPr>
      </w:pPr>
    </w:p>
    <w:sectPr w:rsidR="007707D8" w:rsidRPr="00F7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D5"/>
    <w:rsid w:val="007707D8"/>
    <w:rsid w:val="00F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5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7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5D5"/>
    <w:rPr>
      <w:b/>
      <w:bCs/>
    </w:rPr>
  </w:style>
  <w:style w:type="character" w:styleId="a5">
    <w:name w:val="Hyperlink"/>
    <w:basedOn w:val="a0"/>
    <w:uiPriority w:val="99"/>
    <w:semiHidden/>
    <w:unhideWhenUsed/>
    <w:rsid w:val="00F705D5"/>
    <w:rPr>
      <w:color w:val="0000FF"/>
      <w:u w:val="single"/>
    </w:rPr>
  </w:style>
  <w:style w:type="character" w:styleId="a6">
    <w:name w:val="Emphasis"/>
    <w:basedOn w:val="a0"/>
    <w:uiPriority w:val="20"/>
    <w:qFormat/>
    <w:rsid w:val="00F705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5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7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5D5"/>
    <w:rPr>
      <w:b/>
      <w:bCs/>
    </w:rPr>
  </w:style>
  <w:style w:type="character" w:styleId="a5">
    <w:name w:val="Hyperlink"/>
    <w:basedOn w:val="a0"/>
    <w:uiPriority w:val="99"/>
    <w:semiHidden/>
    <w:unhideWhenUsed/>
    <w:rsid w:val="00F705D5"/>
    <w:rPr>
      <w:color w:val="0000FF"/>
      <w:u w:val="single"/>
    </w:rPr>
  </w:style>
  <w:style w:type="character" w:styleId="a6">
    <w:name w:val="Emphasis"/>
    <w:basedOn w:val="a0"/>
    <w:uiPriority w:val="20"/>
    <w:qFormat/>
    <w:rsid w:val="00F70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edu/documents/details/64163?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edu/documents/details/64163?lang=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edu/documents/details/64163?lang=ru" TargetMode="External"/><Relationship Id="rId5" Type="http://schemas.openxmlformats.org/officeDocument/2006/relationships/hyperlink" Target="https://www.gov.kz/memleket/entities/edu/documents/details/63923?lang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 с.Талкара</dc:creator>
  <cp:lastModifiedBy>ОШ с.Талкара</cp:lastModifiedBy>
  <cp:revision>1</cp:revision>
  <dcterms:created xsi:type="dcterms:W3CDTF">2021-11-17T07:38:00Z</dcterms:created>
  <dcterms:modified xsi:type="dcterms:W3CDTF">2021-11-17T07:39:00Z</dcterms:modified>
</cp:coreProperties>
</file>